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28" w:type="dxa"/>
          <w:right w:w="28" w:type="dxa"/>
        </w:tblCellMar>
        <w:tblLook w:val="0000" w:firstRow="0" w:lastRow="0" w:firstColumn="0" w:lastColumn="0" w:noHBand="0" w:noVBand="0"/>
      </w:tblPr>
      <w:tblGrid>
        <w:gridCol w:w="2211"/>
        <w:gridCol w:w="2211"/>
        <w:gridCol w:w="3119"/>
        <w:gridCol w:w="1530"/>
        <w:gridCol w:w="28"/>
      </w:tblGrid>
      <w:tr w:rsidR="00DC405D" w:rsidTr="00DC405D">
        <w:trPr>
          <w:gridAfter w:val="3"/>
          <w:wAfter w:w="4677" w:type="dxa"/>
          <w:trHeight w:hRule="exact" w:val="860"/>
        </w:trPr>
        <w:tc>
          <w:tcPr>
            <w:tcW w:w="4422" w:type="dxa"/>
            <w:gridSpan w:val="2"/>
            <w:shd w:val="clear" w:color="auto" w:fill="auto"/>
            <w:vAlign w:val="bottom"/>
          </w:tcPr>
          <w:p w:rsidR="00DC405D" w:rsidRDefault="00DC405D" w:rsidP="00DC405D">
            <w:pPr>
              <w:pStyle w:val="opmBriefHoofdTabel"/>
            </w:pPr>
            <w:bookmarkStart w:id="0" w:name="BriefHoofdTabel"/>
            <w:r>
              <w:t>Tweede Kamer der Staten-Generaal</w:t>
            </w:r>
          </w:p>
        </w:tc>
      </w:tr>
      <w:tr w:rsidR="00DC405D" w:rsidTr="00DC405D">
        <w:trPr>
          <w:gridAfter w:val="3"/>
          <w:wAfter w:w="4677" w:type="dxa"/>
          <w:trHeight w:val="300"/>
        </w:trPr>
        <w:tc>
          <w:tcPr>
            <w:tcW w:w="4422" w:type="dxa"/>
            <w:gridSpan w:val="2"/>
            <w:shd w:val="clear" w:color="auto" w:fill="auto"/>
            <w:vAlign w:val="bottom"/>
          </w:tcPr>
          <w:p w:rsidR="00DC405D" w:rsidRDefault="009C5ADD" w:rsidP="00DC405D">
            <w:pPr>
              <w:pStyle w:val="opmBriefHoofdTabel"/>
            </w:pPr>
            <w:r>
              <w:t>Vaste Commissie voor Binnen</w:t>
            </w:r>
            <w:r w:rsidR="00DC405D">
              <w:t>landse Zaken</w:t>
            </w:r>
          </w:p>
        </w:tc>
      </w:tr>
      <w:tr w:rsidR="00DC405D" w:rsidTr="00DC405D">
        <w:trPr>
          <w:gridAfter w:val="3"/>
          <w:wAfter w:w="4677" w:type="dxa"/>
          <w:trHeight w:val="300"/>
        </w:trPr>
        <w:tc>
          <w:tcPr>
            <w:tcW w:w="4422" w:type="dxa"/>
            <w:gridSpan w:val="2"/>
            <w:shd w:val="clear" w:color="auto" w:fill="auto"/>
            <w:vAlign w:val="bottom"/>
          </w:tcPr>
          <w:p w:rsidR="00DC405D" w:rsidRDefault="00DC405D" w:rsidP="00DC405D">
            <w:pPr>
              <w:pStyle w:val="opmBriefHoofdTabel"/>
            </w:pPr>
            <w:r>
              <w:t>Postbus 20018</w:t>
            </w:r>
          </w:p>
        </w:tc>
      </w:tr>
      <w:tr w:rsidR="00DC405D" w:rsidTr="00DC405D">
        <w:trPr>
          <w:gridAfter w:val="3"/>
          <w:wAfter w:w="4677" w:type="dxa"/>
          <w:trHeight w:val="300"/>
        </w:trPr>
        <w:tc>
          <w:tcPr>
            <w:tcW w:w="4422" w:type="dxa"/>
            <w:gridSpan w:val="2"/>
            <w:shd w:val="clear" w:color="auto" w:fill="auto"/>
            <w:vAlign w:val="bottom"/>
          </w:tcPr>
          <w:p w:rsidR="00DC405D" w:rsidRDefault="00DC405D" w:rsidP="00DC405D">
            <w:pPr>
              <w:pStyle w:val="opmBriefHoofdTabel"/>
            </w:pPr>
            <w:r>
              <w:t>2500 EA  'S-GRAVENHAGE</w:t>
            </w:r>
          </w:p>
        </w:tc>
      </w:tr>
      <w:tr w:rsidR="00DC405D" w:rsidTr="00DC405D">
        <w:trPr>
          <w:gridAfter w:val="3"/>
          <w:wAfter w:w="4677" w:type="dxa"/>
          <w:trHeight w:val="300"/>
        </w:trPr>
        <w:tc>
          <w:tcPr>
            <w:tcW w:w="4422" w:type="dxa"/>
            <w:gridSpan w:val="2"/>
            <w:shd w:val="clear" w:color="auto" w:fill="auto"/>
            <w:vAlign w:val="bottom"/>
          </w:tcPr>
          <w:p w:rsidR="00DC405D" w:rsidRDefault="00DC405D" w:rsidP="00DC405D">
            <w:pPr>
              <w:pStyle w:val="opmBriefHoofdTabel"/>
            </w:pPr>
          </w:p>
        </w:tc>
      </w:tr>
      <w:tr w:rsidR="008D1F2A" w:rsidTr="00DC405D">
        <w:trPr>
          <w:gridAfter w:val="3"/>
          <w:wAfter w:w="4677" w:type="dxa"/>
          <w:trHeight w:val="300"/>
        </w:trPr>
        <w:tc>
          <w:tcPr>
            <w:tcW w:w="4422" w:type="dxa"/>
            <w:gridSpan w:val="2"/>
            <w:shd w:val="clear" w:color="auto" w:fill="auto"/>
            <w:vAlign w:val="bottom"/>
          </w:tcPr>
          <w:p w:rsidR="008D1F2A" w:rsidRDefault="008D1F2A" w:rsidP="00DC405D">
            <w:pPr>
              <w:pStyle w:val="opmBriefHoofdTabel"/>
            </w:pPr>
          </w:p>
        </w:tc>
      </w:tr>
      <w:tr w:rsidR="00DC405D" w:rsidRPr="00DC405D" w:rsidTr="00DC405D">
        <w:trPr>
          <w:gridAfter w:val="3"/>
          <w:wAfter w:w="4677" w:type="dxa"/>
          <w:trHeight w:val="600"/>
        </w:trPr>
        <w:tc>
          <w:tcPr>
            <w:tcW w:w="4422" w:type="dxa"/>
            <w:gridSpan w:val="2"/>
            <w:shd w:val="clear" w:color="auto" w:fill="auto"/>
            <w:vAlign w:val="bottom"/>
          </w:tcPr>
          <w:p w:rsidR="00DC405D" w:rsidRPr="005E7FB2" w:rsidRDefault="005E7FB2" w:rsidP="00DC405D">
            <w:pPr>
              <w:pStyle w:val="opmBriefHoofdTabel"/>
              <w:rPr>
                <w:b/>
                <w:sz w:val="16"/>
              </w:rPr>
            </w:pPr>
            <w:r w:rsidRPr="005E7FB2">
              <w:rPr>
                <w:b/>
                <w:noProof/>
                <w:sz w:val="16"/>
              </w:rPr>
              <w:t>Onderwerp</w:t>
            </w:r>
          </w:p>
        </w:tc>
      </w:tr>
      <w:tr w:rsidR="00DC405D" w:rsidTr="00DC405D">
        <w:trPr>
          <w:gridAfter w:val="1"/>
          <w:wAfter w:w="28" w:type="dxa"/>
          <w:trHeight w:val="300"/>
        </w:trPr>
        <w:tc>
          <w:tcPr>
            <w:tcW w:w="9071" w:type="dxa"/>
            <w:gridSpan w:val="4"/>
            <w:shd w:val="clear" w:color="auto" w:fill="auto"/>
          </w:tcPr>
          <w:p w:rsidR="00DC405D" w:rsidRDefault="00DC405D" w:rsidP="00DC405D">
            <w:pPr>
              <w:pStyle w:val="opmBriefHoofdTabel"/>
            </w:pPr>
            <w:r w:rsidRPr="00DC405D">
              <w:t xml:space="preserve">Inbreng voor begroting BZK </w:t>
            </w:r>
          </w:p>
        </w:tc>
      </w:tr>
      <w:tr w:rsidR="00DC405D" w:rsidTr="00DC405D">
        <w:trPr>
          <w:gridAfter w:val="3"/>
          <w:wAfter w:w="4677" w:type="dxa"/>
          <w:trHeight w:val="300"/>
        </w:trPr>
        <w:tc>
          <w:tcPr>
            <w:tcW w:w="4422" w:type="dxa"/>
            <w:gridSpan w:val="2"/>
            <w:shd w:val="clear" w:color="auto" w:fill="auto"/>
            <w:vAlign w:val="bottom"/>
          </w:tcPr>
          <w:p w:rsidR="00DC405D" w:rsidRDefault="00DC405D" w:rsidP="00DC405D">
            <w:pPr>
              <w:pStyle w:val="opmBriefHoofdTabel"/>
            </w:pPr>
          </w:p>
        </w:tc>
      </w:tr>
      <w:tr w:rsidR="00DC405D" w:rsidRPr="005E7FB2" w:rsidTr="00DC405D">
        <w:trPr>
          <w:trHeight w:val="300"/>
        </w:trPr>
        <w:tc>
          <w:tcPr>
            <w:tcW w:w="2211" w:type="dxa"/>
            <w:shd w:val="clear" w:color="auto" w:fill="auto"/>
            <w:vAlign w:val="bottom"/>
          </w:tcPr>
          <w:p w:rsidR="00DC405D" w:rsidRPr="005E7FB2" w:rsidRDefault="005E7FB2" w:rsidP="00DC405D">
            <w:pPr>
              <w:pStyle w:val="opmBriefHoofdTabel"/>
              <w:rPr>
                <w:b/>
                <w:sz w:val="16"/>
              </w:rPr>
            </w:pPr>
            <w:r w:rsidRPr="005E7FB2">
              <w:rPr>
                <w:b/>
                <w:noProof/>
                <w:sz w:val="16"/>
              </w:rPr>
              <w:t>Datum</w:t>
            </w:r>
          </w:p>
        </w:tc>
        <w:tc>
          <w:tcPr>
            <w:tcW w:w="2211" w:type="dxa"/>
            <w:shd w:val="clear" w:color="auto" w:fill="auto"/>
            <w:vAlign w:val="bottom"/>
          </w:tcPr>
          <w:p w:rsidR="00DC405D" w:rsidRPr="005E7FB2" w:rsidRDefault="005E7FB2" w:rsidP="00DC405D">
            <w:pPr>
              <w:pStyle w:val="opmBriefHoofdTabel"/>
              <w:rPr>
                <w:b/>
                <w:sz w:val="16"/>
              </w:rPr>
            </w:pPr>
            <w:r w:rsidRPr="005E7FB2">
              <w:rPr>
                <w:b/>
                <w:noProof/>
                <w:sz w:val="16"/>
              </w:rPr>
              <w:t>Referentie</w:t>
            </w:r>
          </w:p>
        </w:tc>
        <w:tc>
          <w:tcPr>
            <w:tcW w:w="3119" w:type="dxa"/>
            <w:shd w:val="clear" w:color="auto" w:fill="auto"/>
            <w:vAlign w:val="bottom"/>
          </w:tcPr>
          <w:p w:rsidR="00DC405D" w:rsidRPr="005E7FB2" w:rsidRDefault="005E7FB2" w:rsidP="00DC405D">
            <w:pPr>
              <w:pStyle w:val="opmBriefHoofdTabel"/>
              <w:rPr>
                <w:b/>
                <w:sz w:val="16"/>
              </w:rPr>
            </w:pPr>
            <w:r w:rsidRPr="005E7FB2">
              <w:rPr>
                <w:b/>
                <w:noProof/>
                <w:sz w:val="16"/>
              </w:rPr>
              <w:t>Inlichtingen bij</w:t>
            </w:r>
          </w:p>
        </w:tc>
        <w:tc>
          <w:tcPr>
            <w:tcW w:w="1558" w:type="dxa"/>
            <w:gridSpan w:val="2"/>
            <w:shd w:val="clear" w:color="auto" w:fill="auto"/>
            <w:vAlign w:val="bottom"/>
          </w:tcPr>
          <w:p w:rsidR="00DC405D" w:rsidRPr="005E7FB2" w:rsidRDefault="005E7FB2" w:rsidP="00DC405D">
            <w:pPr>
              <w:pStyle w:val="opmBriefHoofdTabel"/>
              <w:rPr>
                <w:b/>
                <w:sz w:val="16"/>
              </w:rPr>
            </w:pPr>
            <w:r w:rsidRPr="005E7FB2">
              <w:rPr>
                <w:b/>
                <w:noProof/>
                <w:sz w:val="16"/>
              </w:rPr>
              <w:t>Bijlage</w:t>
            </w:r>
          </w:p>
        </w:tc>
      </w:tr>
      <w:tr w:rsidR="00DC405D" w:rsidTr="00DC405D">
        <w:trPr>
          <w:trHeight w:val="300"/>
        </w:trPr>
        <w:tc>
          <w:tcPr>
            <w:tcW w:w="2211" w:type="dxa"/>
            <w:shd w:val="clear" w:color="auto" w:fill="auto"/>
          </w:tcPr>
          <w:p w:rsidR="00DC405D" w:rsidRDefault="008D1F2A" w:rsidP="00DC405D">
            <w:pPr>
              <w:pStyle w:val="opmBriefHoofdTabel"/>
            </w:pPr>
            <w:r>
              <w:t>8</w:t>
            </w:r>
            <w:r w:rsidR="00DC405D">
              <w:t>-10-2020</w:t>
            </w:r>
          </w:p>
        </w:tc>
        <w:tc>
          <w:tcPr>
            <w:tcW w:w="2211" w:type="dxa"/>
            <w:shd w:val="clear" w:color="auto" w:fill="auto"/>
          </w:tcPr>
          <w:p w:rsidR="00DC405D" w:rsidRDefault="00DC405D" w:rsidP="00DC405D">
            <w:pPr>
              <w:pStyle w:val="opmBriefHoofdTabel"/>
            </w:pPr>
            <w:r>
              <w:t>20-</w:t>
            </w:r>
            <w:r w:rsidR="005B5B32">
              <w:t>0625/MH/RS</w:t>
            </w:r>
          </w:p>
        </w:tc>
        <w:tc>
          <w:tcPr>
            <w:tcW w:w="3119" w:type="dxa"/>
            <w:shd w:val="clear" w:color="auto" w:fill="auto"/>
          </w:tcPr>
          <w:p w:rsidR="00DC405D" w:rsidRDefault="00BF7A6F" w:rsidP="00DC405D">
            <w:pPr>
              <w:pStyle w:val="opmBriefHoofdTabel"/>
            </w:pPr>
            <w:hyperlink r:id="rId7" w:history="1">
              <w:r w:rsidR="000E4AE4" w:rsidRPr="00162C75">
                <w:rPr>
                  <w:rStyle w:val="Hyperlink"/>
                </w:rPr>
                <w:t>c.sadeee@iederin.nl</w:t>
              </w:r>
            </w:hyperlink>
            <w:r w:rsidR="000E4AE4">
              <w:t xml:space="preserve"> </w:t>
            </w:r>
            <w:hyperlink r:id="rId8" w:history="1">
              <w:r w:rsidR="000E4AE4" w:rsidRPr="00162C75">
                <w:rPr>
                  <w:rStyle w:val="Hyperlink"/>
                </w:rPr>
                <w:t>m.hempenius@iederin.nl</w:t>
              </w:r>
            </w:hyperlink>
            <w:r w:rsidR="000E4AE4">
              <w:t xml:space="preserve"> </w:t>
            </w:r>
          </w:p>
        </w:tc>
        <w:tc>
          <w:tcPr>
            <w:tcW w:w="1558" w:type="dxa"/>
            <w:gridSpan w:val="2"/>
            <w:shd w:val="clear" w:color="auto" w:fill="auto"/>
          </w:tcPr>
          <w:p w:rsidR="00DC405D" w:rsidRDefault="00DC405D" w:rsidP="00DC405D">
            <w:pPr>
              <w:pStyle w:val="opmBriefHoofdTabel"/>
            </w:pPr>
          </w:p>
        </w:tc>
      </w:tr>
      <w:bookmarkEnd w:id="0"/>
    </w:tbl>
    <w:p w:rsidR="008B1B16" w:rsidRDefault="008B1B16" w:rsidP="00DC405D"/>
    <w:p w:rsidR="00DC405D" w:rsidRDefault="00DC405D" w:rsidP="00DC405D"/>
    <w:p w:rsidR="003763F3" w:rsidRPr="003763F3" w:rsidRDefault="003763F3" w:rsidP="003763F3">
      <w:pPr>
        <w:spacing w:after="160" w:line="259" w:lineRule="auto"/>
        <w:rPr>
          <w:rFonts w:ascii="Calibri" w:eastAsia="Calibri" w:hAnsi="Calibri"/>
          <w:sz w:val="22"/>
          <w:szCs w:val="22"/>
          <w:lang w:eastAsia="en-US"/>
        </w:rPr>
      </w:pPr>
      <w:bookmarkStart w:id="1" w:name="Geachte"/>
      <w:bookmarkEnd w:id="1"/>
      <w:r w:rsidRPr="003763F3">
        <w:rPr>
          <w:rFonts w:ascii="Calibri" w:eastAsia="Calibri" w:hAnsi="Calibri"/>
          <w:sz w:val="22"/>
          <w:szCs w:val="22"/>
          <w:lang w:eastAsia="en-US"/>
        </w:rPr>
        <w:t xml:space="preserve">Geachte Kamerleden, </w:t>
      </w:r>
    </w:p>
    <w:p w:rsidR="003763F3" w:rsidRDefault="003763F3" w:rsidP="003763F3">
      <w:pPr>
        <w:spacing w:after="160" w:line="259" w:lineRule="auto"/>
        <w:rPr>
          <w:rFonts w:ascii="Calibri" w:eastAsia="Calibri" w:hAnsi="Calibri"/>
          <w:sz w:val="22"/>
          <w:szCs w:val="22"/>
          <w:lang w:eastAsia="en-US"/>
        </w:rPr>
      </w:pPr>
      <w:r w:rsidRPr="003763F3">
        <w:rPr>
          <w:rFonts w:ascii="Calibri" w:eastAsia="Calibri" w:hAnsi="Calibri"/>
          <w:sz w:val="22"/>
          <w:szCs w:val="22"/>
          <w:lang w:eastAsia="en-US"/>
        </w:rPr>
        <w:t>In de week van 13 oktober bespreekt u in de Kamer de begrotings</w:t>
      </w:r>
      <w:r w:rsidR="00845BAB">
        <w:rPr>
          <w:rFonts w:ascii="Calibri" w:eastAsia="Calibri" w:hAnsi="Calibri"/>
          <w:sz w:val="22"/>
          <w:szCs w:val="22"/>
          <w:lang w:eastAsia="en-US"/>
        </w:rPr>
        <w:t xml:space="preserve">behandeling van het Ministerie </w:t>
      </w:r>
      <w:r w:rsidRPr="003763F3">
        <w:rPr>
          <w:rFonts w:ascii="Calibri" w:eastAsia="Calibri" w:hAnsi="Calibri"/>
          <w:sz w:val="22"/>
          <w:szCs w:val="22"/>
          <w:lang w:eastAsia="en-US"/>
        </w:rPr>
        <w:t xml:space="preserve">van Binnenlandse zaken. Als koepelorganisatie van ruim 2 miljoen </w:t>
      </w:r>
      <w:r w:rsidR="000E4AE4">
        <w:rPr>
          <w:rFonts w:ascii="Calibri" w:eastAsia="Calibri" w:hAnsi="Calibri"/>
          <w:sz w:val="22"/>
          <w:szCs w:val="22"/>
          <w:lang w:eastAsia="en-US"/>
        </w:rPr>
        <w:t xml:space="preserve">mensen </w:t>
      </w:r>
      <w:r w:rsidRPr="003763F3">
        <w:rPr>
          <w:rFonts w:ascii="Calibri" w:eastAsia="Calibri" w:hAnsi="Calibri"/>
          <w:sz w:val="22"/>
          <w:szCs w:val="22"/>
          <w:lang w:eastAsia="en-US"/>
        </w:rPr>
        <w:t xml:space="preserve">met een chronische aandoening of beperking vragen wij graag uw aandacht voor onderstaande punten. </w:t>
      </w:r>
    </w:p>
    <w:p w:rsidR="000E4AE4" w:rsidRPr="003763F3" w:rsidRDefault="000E4AE4" w:rsidP="003763F3">
      <w:pPr>
        <w:spacing w:after="160" w:line="259" w:lineRule="auto"/>
        <w:rPr>
          <w:rFonts w:ascii="Calibri" w:eastAsia="Calibri" w:hAnsi="Calibri"/>
          <w:sz w:val="22"/>
          <w:szCs w:val="22"/>
          <w:lang w:eastAsia="en-US"/>
        </w:rPr>
      </w:pPr>
    </w:p>
    <w:p w:rsidR="003763F3" w:rsidRDefault="00E5333D" w:rsidP="003763F3">
      <w:pPr>
        <w:numPr>
          <w:ilvl w:val="0"/>
          <w:numId w:val="1"/>
        </w:numPr>
        <w:spacing w:after="160" w:line="259" w:lineRule="auto"/>
        <w:contextualSpacing/>
        <w:rPr>
          <w:rFonts w:ascii="Calibri" w:eastAsia="Calibri" w:hAnsi="Calibri"/>
          <w:b/>
          <w:bCs/>
          <w:sz w:val="22"/>
          <w:szCs w:val="22"/>
          <w:lang w:eastAsia="en-US"/>
        </w:rPr>
      </w:pPr>
      <w:r>
        <w:rPr>
          <w:rFonts w:ascii="Calibri" w:eastAsia="Calibri" w:hAnsi="Calibri"/>
          <w:b/>
          <w:bCs/>
          <w:sz w:val="22"/>
          <w:szCs w:val="22"/>
          <w:lang w:eastAsia="en-US"/>
        </w:rPr>
        <w:t xml:space="preserve">Maak betere </w:t>
      </w:r>
      <w:r w:rsidR="003763F3" w:rsidRPr="003763F3">
        <w:rPr>
          <w:rFonts w:ascii="Calibri" w:eastAsia="Calibri" w:hAnsi="Calibri"/>
          <w:b/>
          <w:bCs/>
          <w:sz w:val="22"/>
          <w:szCs w:val="22"/>
          <w:lang w:eastAsia="en-US"/>
        </w:rPr>
        <w:t>afspraken over financiering, kwaliteit en toezicht in het sociaal domein</w:t>
      </w:r>
    </w:p>
    <w:p w:rsidR="007C6ADD" w:rsidRPr="003763F3" w:rsidRDefault="007C6ADD" w:rsidP="007C6ADD">
      <w:pPr>
        <w:spacing w:after="160" w:line="259" w:lineRule="auto"/>
        <w:ind w:left="360"/>
        <w:contextualSpacing/>
        <w:rPr>
          <w:rFonts w:ascii="Calibri" w:eastAsia="Calibri" w:hAnsi="Calibri"/>
          <w:b/>
          <w:bCs/>
          <w:sz w:val="22"/>
          <w:szCs w:val="22"/>
          <w:lang w:eastAsia="en-US"/>
        </w:rPr>
      </w:pPr>
    </w:p>
    <w:p w:rsidR="003763F3" w:rsidRPr="003763F3" w:rsidRDefault="003763F3" w:rsidP="003763F3">
      <w:pPr>
        <w:spacing w:after="160" w:line="259" w:lineRule="auto"/>
        <w:rPr>
          <w:rFonts w:ascii="Calibri" w:eastAsia="Calibri" w:hAnsi="Calibri"/>
          <w:sz w:val="22"/>
          <w:szCs w:val="22"/>
          <w:lang w:eastAsia="en-US"/>
        </w:rPr>
      </w:pPr>
      <w:r w:rsidRPr="003763F3">
        <w:rPr>
          <w:rFonts w:ascii="Calibri" w:eastAsia="Calibri" w:hAnsi="Calibri"/>
          <w:sz w:val="22"/>
          <w:szCs w:val="22"/>
          <w:lang w:eastAsia="en-US"/>
        </w:rPr>
        <w:t xml:space="preserve">Wij krijgen veel signalen vanuit de achterban over bezuinigingen in het sociaal domein.  Mensen met een chronische aandoening en beperking hebben de afgelopen jaren onder het mom van bezuiniging ervaren dat de zorg en ondersteuning, toegang tot mobiliteit en wonen onder druk staat. Lang niet altijd krijgen mensen tijdig de passende oplossing die nodig is om mee te doen. Wij vragen om duidelijke kaders, beter toezicht en passende financiering, zodat gemeenten hun opdracht om meer mensen mee te laten doen, ook echt kunnen waarmaken. </w:t>
      </w:r>
    </w:p>
    <w:p w:rsidR="003763F3" w:rsidRPr="003763F3" w:rsidRDefault="003763F3" w:rsidP="003763F3">
      <w:pPr>
        <w:spacing w:after="160" w:line="259" w:lineRule="auto"/>
        <w:rPr>
          <w:rFonts w:ascii="Calibri" w:eastAsia="Calibri" w:hAnsi="Calibri"/>
          <w:i/>
          <w:iCs/>
          <w:sz w:val="22"/>
          <w:szCs w:val="22"/>
          <w:lang w:eastAsia="en-US"/>
        </w:rPr>
      </w:pPr>
      <w:r w:rsidRPr="003763F3">
        <w:rPr>
          <w:rFonts w:ascii="Calibri" w:eastAsia="Calibri" w:hAnsi="Calibri"/>
          <w:i/>
          <w:iCs/>
          <w:sz w:val="22"/>
          <w:szCs w:val="22"/>
          <w:lang w:eastAsia="en-US"/>
        </w:rPr>
        <w:t>Wij vragen u te zorgen voor de noodzakelijk verbetering van de uitvoering, door aan te dringen op:</w:t>
      </w:r>
    </w:p>
    <w:p w:rsidR="003763F3" w:rsidRPr="003763F3" w:rsidRDefault="003763F3" w:rsidP="003763F3">
      <w:pPr>
        <w:numPr>
          <w:ilvl w:val="0"/>
          <w:numId w:val="2"/>
        </w:numPr>
        <w:spacing w:after="160" w:line="259" w:lineRule="auto"/>
        <w:contextualSpacing/>
        <w:rPr>
          <w:rFonts w:ascii="Calibri" w:eastAsia="Calibri" w:hAnsi="Calibri"/>
          <w:i/>
          <w:iCs/>
          <w:sz w:val="22"/>
          <w:szCs w:val="22"/>
          <w:lang w:eastAsia="en-US"/>
        </w:rPr>
      </w:pPr>
      <w:r w:rsidRPr="003763F3">
        <w:rPr>
          <w:rFonts w:ascii="Calibri" w:eastAsia="Calibri" w:hAnsi="Calibri"/>
          <w:i/>
          <w:iCs/>
          <w:sz w:val="22"/>
          <w:szCs w:val="22"/>
          <w:lang w:eastAsia="en-US"/>
        </w:rPr>
        <w:t>bestuurlijke afspraken met de VNG over een passende financiering voor de gemeentelijke taken in het sociaal domein;</w:t>
      </w:r>
    </w:p>
    <w:p w:rsidR="003763F3" w:rsidRPr="003763F3" w:rsidRDefault="00475A8A" w:rsidP="003763F3">
      <w:pPr>
        <w:numPr>
          <w:ilvl w:val="0"/>
          <w:numId w:val="2"/>
        </w:numPr>
        <w:spacing w:after="160" w:line="259" w:lineRule="auto"/>
        <w:contextualSpacing/>
        <w:rPr>
          <w:rFonts w:ascii="Calibri" w:eastAsia="Calibri" w:hAnsi="Calibri"/>
          <w:i/>
          <w:iCs/>
          <w:sz w:val="22"/>
          <w:szCs w:val="22"/>
          <w:lang w:eastAsia="en-US"/>
        </w:rPr>
      </w:pPr>
      <w:r>
        <w:rPr>
          <w:rFonts w:ascii="Calibri" w:eastAsia="Calibri" w:hAnsi="Calibri"/>
          <w:i/>
          <w:iCs/>
          <w:sz w:val="22"/>
          <w:szCs w:val="22"/>
          <w:lang w:eastAsia="en-US"/>
        </w:rPr>
        <w:t>een landelijk</w:t>
      </w:r>
      <w:r w:rsidR="003763F3" w:rsidRPr="003763F3">
        <w:rPr>
          <w:rFonts w:ascii="Calibri" w:eastAsia="Calibri" w:hAnsi="Calibri"/>
          <w:i/>
          <w:iCs/>
          <w:sz w:val="22"/>
          <w:szCs w:val="22"/>
          <w:lang w:eastAsia="en-US"/>
        </w:rPr>
        <w:t xml:space="preserve"> kader voor toegang, de mogelijkheid van second opinion en afspraken over de basiskwali</w:t>
      </w:r>
      <w:r w:rsidR="001B433B">
        <w:rPr>
          <w:rFonts w:ascii="Calibri" w:eastAsia="Calibri" w:hAnsi="Calibri"/>
          <w:i/>
          <w:iCs/>
          <w:sz w:val="22"/>
          <w:szCs w:val="22"/>
          <w:lang w:eastAsia="en-US"/>
        </w:rPr>
        <w:t>teit van zorg en ondersteuning;</w:t>
      </w:r>
    </w:p>
    <w:p w:rsidR="003763F3" w:rsidRPr="003763F3" w:rsidRDefault="003763F3" w:rsidP="003763F3">
      <w:pPr>
        <w:numPr>
          <w:ilvl w:val="0"/>
          <w:numId w:val="2"/>
        </w:numPr>
        <w:spacing w:after="160" w:line="259" w:lineRule="auto"/>
        <w:contextualSpacing/>
        <w:rPr>
          <w:rFonts w:ascii="Calibri" w:eastAsia="Calibri" w:hAnsi="Calibri"/>
          <w:i/>
          <w:iCs/>
          <w:sz w:val="22"/>
          <w:szCs w:val="22"/>
          <w:lang w:eastAsia="en-US"/>
        </w:rPr>
      </w:pPr>
      <w:r w:rsidRPr="003763F3">
        <w:rPr>
          <w:rFonts w:ascii="Calibri" w:eastAsia="Calibri" w:hAnsi="Calibri"/>
          <w:i/>
          <w:iCs/>
          <w:sz w:val="22"/>
          <w:szCs w:val="22"/>
          <w:lang w:eastAsia="en-US"/>
        </w:rPr>
        <w:t>een stevige en wettelijk vastgelegde positi</w:t>
      </w:r>
      <w:r w:rsidR="001B433B">
        <w:rPr>
          <w:rFonts w:ascii="Calibri" w:eastAsia="Calibri" w:hAnsi="Calibri"/>
          <w:i/>
          <w:iCs/>
          <w:sz w:val="22"/>
          <w:szCs w:val="22"/>
          <w:lang w:eastAsia="en-US"/>
        </w:rPr>
        <w:t>e van de mensen om wie het gaat;</w:t>
      </w:r>
    </w:p>
    <w:p w:rsidR="003763F3" w:rsidRDefault="003763F3" w:rsidP="003763F3">
      <w:pPr>
        <w:numPr>
          <w:ilvl w:val="0"/>
          <w:numId w:val="2"/>
        </w:numPr>
        <w:spacing w:after="160" w:line="259" w:lineRule="auto"/>
        <w:contextualSpacing/>
        <w:rPr>
          <w:rFonts w:ascii="Calibri" w:eastAsia="Calibri" w:hAnsi="Calibri"/>
          <w:i/>
          <w:iCs/>
          <w:sz w:val="22"/>
          <w:szCs w:val="22"/>
          <w:lang w:eastAsia="en-US"/>
        </w:rPr>
      </w:pPr>
      <w:r w:rsidRPr="003763F3">
        <w:rPr>
          <w:rFonts w:ascii="Calibri" w:eastAsia="Calibri" w:hAnsi="Calibri"/>
          <w:i/>
          <w:iCs/>
          <w:sz w:val="22"/>
          <w:szCs w:val="22"/>
          <w:lang w:eastAsia="en-US"/>
        </w:rPr>
        <w:t>een goede monitor van de stand van zaken rondom de lokale inclusie agenda in gemeenten.</w:t>
      </w:r>
    </w:p>
    <w:p w:rsidR="003763F3" w:rsidRDefault="003763F3" w:rsidP="003763F3">
      <w:pPr>
        <w:spacing w:after="160" w:line="259" w:lineRule="auto"/>
        <w:ind w:left="360"/>
        <w:contextualSpacing/>
        <w:rPr>
          <w:rFonts w:ascii="Calibri" w:eastAsia="Calibri" w:hAnsi="Calibri"/>
          <w:i/>
          <w:iCs/>
          <w:sz w:val="22"/>
          <w:szCs w:val="22"/>
          <w:lang w:eastAsia="en-US"/>
        </w:rPr>
      </w:pPr>
    </w:p>
    <w:p w:rsidR="008D1F2A" w:rsidRDefault="008D1F2A" w:rsidP="003763F3">
      <w:pPr>
        <w:spacing w:after="160" w:line="259" w:lineRule="auto"/>
        <w:ind w:left="360"/>
        <w:contextualSpacing/>
        <w:rPr>
          <w:rFonts w:ascii="Calibri" w:eastAsia="Calibri" w:hAnsi="Calibri"/>
          <w:i/>
          <w:iCs/>
          <w:sz w:val="22"/>
          <w:szCs w:val="22"/>
          <w:lang w:eastAsia="en-US"/>
        </w:rPr>
      </w:pPr>
    </w:p>
    <w:p w:rsidR="008D1F2A" w:rsidRDefault="008D1F2A" w:rsidP="003763F3">
      <w:pPr>
        <w:spacing w:after="160" w:line="259" w:lineRule="auto"/>
        <w:ind w:left="360"/>
        <w:contextualSpacing/>
        <w:rPr>
          <w:rFonts w:ascii="Calibri" w:eastAsia="Calibri" w:hAnsi="Calibri"/>
          <w:i/>
          <w:iCs/>
          <w:sz w:val="22"/>
          <w:szCs w:val="22"/>
          <w:lang w:eastAsia="en-US"/>
        </w:rPr>
      </w:pPr>
    </w:p>
    <w:p w:rsidR="007C6ADD" w:rsidRPr="008D1F2A" w:rsidRDefault="003763F3" w:rsidP="008D1F2A">
      <w:pPr>
        <w:pStyle w:val="Lijstalinea"/>
        <w:numPr>
          <w:ilvl w:val="0"/>
          <w:numId w:val="1"/>
        </w:numPr>
        <w:spacing w:after="160" w:line="259" w:lineRule="auto"/>
        <w:rPr>
          <w:rFonts w:ascii="Calibri" w:eastAsia="Calibri" w:hAnsi="Calibri"/>
          <w:sz w:val="22"/>
          <w:szCs w:val="22"/>
          <w:lang w:eastAsia="en-US"/>
        </w:rPr>
      </w:pPr>
      <w:r w:rsidRPr="000027ED">
        <w:rPr>
          <w:rFonts w:ascii="Calibri" w:eastAsia="Calibri" w:hAnsi="Calibri"/>
          <w:b/>
          <w:bCs/>
          <w:sz w:val="22"/>
          <w:szCs w:val="22"/>
          <w:lang w:eastAsia="en-US"/>
        </w:rPr>
        <w:lastRenderedPageBreak/>
        <w:t>Versnelling uitvoering digitale toegankelijkheid</w:t>
      </w:r>
      <w:r w:rsidRPr="000027ED">
        <w:rPr>
          <w:rFonts w:ascii="Calibri" w:eastAsia="Calibri" w:hAnsi="Calibri"/>
          <w:sz w:val="22"/>
          <w:szCs w:val="22"/>
          <w:lang w:eastAsia="en-US"/>
        </w:rPr>
        <w:t xml:space="preserve"> </w:t>
      </w:r>
    </w:p>
    <w:p w:rsidR="009338CE" w:rsidRDefault="009338CE" w:rsidP="009338CE">
      <w:pPr>
        <w:rPr>
          <w:rFonts w:asciiTheme="minorHAnsi" w:hAnsiTheme="minorHAnsi"/>
          <w:iCs/>
          <w:sz w:val="22"/>
          <w:szCs w:val="22"/>
        </w:rPr>
      </w:pPr>
      <w:r w:rsidRPr="009338CE">
        <w:rPr>
          <w:rFonts w:asciiTheme="minorHAnsi" w:hAnsiTheme="minorHAnsi"/>
          <w:iCs/>
          <w:sz w:val="22"/>
          <w:szCs w:val="22"/>
        </w:rPr>
        <w:t xml:space="preserve">Op 23 september jongstleden werd bekend dat veel websites van overheden nog niet toegankelijk zijn, terwijl overheden vanaf die datum hieraan verplicht en aantoonbaar moeten werken. Het betekent dat een grote groep van mensen met een beperking in Nederland niet zelfstandig gebruik kan maken van online informatie en dienstverlening van de overheid, zoals van de politie, de GGD’s en de gemeenten. In het VN Verdrag Handicap staat dat mensen met een beperking volwaardig mee moeten kunnen doen in de samenleving. Digitale informatie en dienstverlening bieden absoluut kansen, maar dan moet deze wel toegankelijk en bruikbaar zijn. Tevens moeten er alternatieven blijven bestaan. </w:t>
      </w:r>
    </w:p>
    <w:p w:rsidR="009338CE" w:rsidRPr="009338CE" w:rsidRDefault="009338CE" w:rsidP="009338CE">
      <w:pPr>
        <w:rPr>
          <w:rFonts w:asciiTheme="minorHAnsi" w:hAnsiTheme="minorHAnsi"/>
          <w:iCs/>
          <w:sz w:val="22"/>
          <w:szCs w:val="22"/>
        </w:rPr>
      </w:pPr>
    </w:p>
    <w:p w:rsidR="009338CE" w:rsidRPr="009338CE" w:rsidRDefault="009338CE" w:rsidP="009338CE">
      <w:pPr>
        <w:rPr>
          <w:rFonts w:asciiTheme="minorHAnsi" w:hAnsiTheme="minorHAnsi"/>
          <w:iCs/>
          <w:sz w:val="22"/>
          <w:szCs w:val="22"/>
        </w:rPr>
      </w:pPr>
      <w:r w:rsidRPr="009338CE">
        <w:rPr>
          <w:rFonts w:asciiTheme="minorHAnsi" w:hAnsiTheme="minorHAnsi"/>
          <w:iCs/>
          <w:sz w:val="22"/>
          <w:szCs w:val="22"/>
        </w:rPr>
        <w:t xml:space="preserve"> Wij constateren het volgende:</w:t>
      </w:r>
    </w:p>
    <w:p w:rsidR="009338CE" w:rsidRPr="009338CE" w:rsidRDefault="009338CE" w:rsidP="009338CE">
      <w:pPr>
        <w:pStyle w:val="Lijstalinea"/>
        <w:numPr>
          <w:ilvl w:val="0"/>
          <w:numId w:val="5"/>
        </w:numPr>
        <w:spacing w:after="160" w:line="259" w:lineRule="auto"/>
        <w:rPr>
          <w:rFonts w:asciiTheme="minorHAnsi" w:hAnsiTheme="minorHAnsi"/>
          <w:iCs/>
          <w:sz w:val="22"/>
          <w:szCs w:val="22"/>
        </w:rPr>
      </w:pPr>
      <w:r w:rsidRPr="009338CE">
        <w:rPr>
          <w:rFonts w:asciiTheme="minorHAnsi" w:hAnsiTheme="minorHAnsi"/>
          <w:iCs/>
          <w:sz w:val="22"/>
          <w:szCs w:val="22"/>
        </w:rPr>
        <w:t>Wij ontvangen signalen uit onze achterban dat zij niet of niet volledig gebruik kunnen maken van online informatie en dienstverlening en dat zij daarmee op achterstand staan. De gebruiker en dus óók gebruikers met een beperking dienen centraal te staan bij het ontwikkelen van websites en apps.</w:t>
      </w:r>
    </w:p>
    <w:p w:rsidR="009338CE" w:rsidRPr="009338CE" w:rsidRDefault="009338CE" w:rsidP="009338CE">
      <w:pPr>
        <w:pStyle w:val="Lijstalinea"/>
        <w:numPr>
          <w:ilvl w:val="0"/>
          <w:numId w:val="5"/>
        </w:numPr>
        <w:spacing w:after="160" w:line="259" w:lineRule="auto"/>
        <w:rPr>
          <w:rFonts w:asciiTheme="minorHAnsi" w:hAnsiTheme="minorHAnsi"/>
          <w:iCs/>
          <w:sz w:val="22"/>
          <w:szCs w:val="22"/>
        </w:rPr>
      </w:pPr>
      <w:r w:rsidRPr="009338CE">
        <w:rPr>
          <w:rFonts w:asciiTheme="minorHAnsi" w:hAnsiTheme="minorHAnsi"/>
          <w:iCs/>
          <w:sz w:val="22"/>
          <w:szCs w:val="22"/>
        </w:rPr>
        <w:t>Uit onderzoek blijkt dat het ontbreekt aan bewustwording en draagvlak binnen overheden. Ook horen wij dat internetprofessionals bij overheden zich onvoldoende voelen ondersteund in het implementeren van digitale toegankelijkheid. Er is méér nodig aan bewustwording, training en ondersteuning van overheden.</w:t>
      </w:r>
    </w:p>
    <w:p w:rsidR="009338CE" w:rsidRPr="009338CE" w:rsidRDefault="009338CE" w:rsidP="009338CE">
      <w:pPr>
        <w:pStyle w:val="Lijstalinea"/>
        <w:numPr>
          <w:ilvl w:val="0"/>
          <w:numId w:val="5"/>
        </w:numPr>
        <w:spacing w:after="160" w:line="259" w:lineRule="auto"/>
        <w:rPr>
          <w:rFonts w:asciiTheme="minorHAnsi" w:hAnsiTheme="minorHAnsi"/>
          <w:iCs/>
          <w:sz w:val="22"/>
          <w:szCs w:val="22"/>
        </w:rPr>
      </w:pPr>
      <w:r w:rsidRPr="009338CE">
        <w:rPr>
          <w:rFonts w:asciiTheme="minorHAnsi" w:hAnsiTheme="minorHAnsi"/>
          <w:iCs/>
          <w:sz w:val="22"/>
          <w:szCs w:val="22"/>
        </w:rPr>
        <w:t xml:space="preserve">Het verantwoordingsmodel, op basis waarvan de stand van zaken kan worden gemonitord en gerapporteerd, en overheden die nog niet voldoen kunnen worden aangeschreven, is in ontwikkeling maar nog niet gereed. Overheden met websites zónder toegankelijkheidsverklaring (per 23 september verplicht!) zijn nog niet aangeschreven. Er is méér actie nodig ten aanzien van monitoring en rapportage.  </w:t>
      </w:r>
    </w:p>
    <w:p w:rsidR="009338CE" w:rsidRPr="009338CE" w:rsidRDefault="009338CE" w:rsidP="009338CE">
      <w:pPr>
        <w:pStyle w:val="Lijstalinea"/>
        <w:numPr>
          <w:ilvl w:val="0"/>
          <w:numId w:val="5"/>
        </w:numPr>
        <w:spacing w:after="160" w:line="259" w:lineRule="auto"/>
        <w:rPr>
          <w:rFonts w:asciiTheme="minorHAnsi" w:hAnsiTheme="minorHAnsi"/>
          <w:iCs/>
          <w:sz w:val="22"/>
          <w:szCs w:val="22"/>
        </w:rPr>
      </w:pPr>
      <w:r w:rsidRPr="009338CE">
        <w:rPr>
          <w:rFonts w:asciiTheme="minorHAnsi" w:hAnsiTheme="minorHAnsi"/>
          <w:iCs/>
          <w:sz w:val="22"/>
          <w:szCs w:val="22"/>
        </w:rPr>
        <w:t>De wijze waarop het toezicht wordt ingeregeld staat nog niet geheel vast en is nog niet gecommuniceerd. Ook dit had op 23 september gereed moeten zijn. Er dient te worden geïnvesteerd in intensiever toezicht.</w:t>
      </w:r>
    </w:p>
    <w:p w:rsidR="009338CE" w:rsidRPr="009338CE" w:rsidRDefault="009338CE" w:rsidP="009338CE">
      <w:pPr>
        <w:pStyle w:val="Lijstalinea"/>
        <w:numPr>
          <w:ilvl w:val="0"/>
          <w:numId w:val="5"/>
        </w:numPr>
        <w:spacing w:after="160" w:line="259" w:lineRule="auto"/>
        <w:rPr>
          <w:rFonts w:asciiTheme="minorHAnsi" w:hAnsiTheme="minorHAnsi"/>
          <w:iCs/>
          <w:sz w:val="22"/>
          <w:szCs w:val="22"/>
        </w:rPr>
      </w:pPr>
      <w:r w:rsidRPr="009338CE">
        <w:rPr>
          <w:rFonts w:asciiTheme="minorHAnsi" w:hAnsiTheme="minorHAnsi"/>
          <w:iCs/>
          <w:sz w:val="22"/>
          <w:szCs w:val="22"/>
        </w:rPr>
        <w:t xml:space="preserve">Het lukt overheden vaak niet om, bij de inkoop van </w:t>
      </w:r>
      <w:r w:rsidR="00845BAB">
        <w:rPr>
          <w:rFonts w:asciiTheme="minorHAnsi" w:hAnsiTheme="minorHAnsi"/>
          <w:iCs/>
          <w:sz w:val="22"/>
          <w:szCs w:val="22"/>
        </w:rPr>
        <w:t xml:space="preserve">ICT-diensten en –producten, de </w:t>
      </w:r>
      <w:r w:rsidRPr="009338CE">
        <w:rPr>
          <w:rFonts w:asciiTheme="minorHAnsi" w:hAnsiTheme="minorHAnsi"/>
          <w:iCs/>
          <w:sz w:val="22"/>
          <w:szCs w:val="22"/>
        </w:rPr>
        <w:t xml:space="preserve">toegankelijkheid daarvan bij de leverancier af te dwingen. VNG heeft toegankelijkheid in de Gemeentelijke Inkoopvoorwaarden bij IT (GIBIT) opgenomen maar de praktijk is weerbarstig. In samenwerking met VNG zou het ministerie van BZK hierin meer actie kunnen ondernemen (onder meer door het publiceren van een lijst met leveranciers die aantoonbaar toegankelijk bouwen). </w:t>
      </w:r>
    </w:p>
    <w:p w:rsidR="009338CE" w:rsidRDefault="009338CE" w:rsidP="009338CE">
      <w:pPr>
        <w:rPr>
          <w:rFonts w:asciiTheme="minorHAnsi" w:hAnsiTheme="minorHAnsi"/>
          <w:iCs/>
          <w:sz w:val="22"/>
          <w:szCs w:val="22"/>
        </w:rPr>
      </w:pPr>
      <w:r w:rsidRPr="009338CE">
        <w:rPr>
          <w:rFonts w:asciiTheme="minorHAnsi" w:hAnsiTheme="minorHAnsi"/>
          <w:iCs/>
          <w:sz w:val="22"/>
          <w:szCs w:val="22"/>
        </w:rPr>
        <w:t xml:space="preserve">Het BZK / Logius team van Digitoegankelijk, dat hiervoor aan de lat staat, doet zijn uiterste best. Wij constateren echter dat onvoldoende menskracht en middelen aanwezig zijn om de noodzakelijke activiteiten binnen afzienbare tijd uit te voeren. </w:t>
      </w:r>
    </w:p>
    <w:p w:rsidR="009338CE" w:rsidRPr="009338CE" w:rsidRDefault="009338CE" w:rsidP="009338CE">
      <w:pPr>
        <w:rPr>
          <w:rFonts w:asciiTheme="minorHAnsi" w:hAnsiTheme="minorHAnsi"/>
          <w:iCs/>
          <w:sz w:val="22"/>
          <w:szCs w:val="22"/>
        </w:rPr>
      </w:pPr>
    </w:p>
    <w:p w:rsidR="009338CE" w:rsidRPr="009338CE" w:rsidRDefault="009338CE" w:rsidP="009338CE">
      <w:pPr>
        <w:rPr>
          <w:rFonts w:asciiTheme="minorHAnsi" w:hAnsiTheme="minorHAnsi"/>
          <w:i/>
          <w:iCs/>
          <w:sz w:val="22"/>
          <w:szCs w:val="22"/>
        </w:rPr>
      </w:pPr>
      <w:r w:rsidRPr="009338CE">
        <w:rPr>
          <w:rFonts w:asciiTheme="minorHAnsi" w:hAnsiTheme="minorHAnsi"/>
          <w:i/>
          <w:iCs/>
          <w:sz w:val="22"/>
          <w:szCs w:val="22"/>
        </w:rPr>
        <w:t xml:space="preserve">Wij vragen u om aan de staatssecretaris te vragen om (1) in het programma van de Digitale Overheid op te nemen dat bij digitale toegankelijkheid de gebruiker centraal moet staan, dus óók mensen met een beperking, (2) het realiseren van digitale toegankelijkheid te versnellen door middel van bovenstaande activiteiten en (3) hiervoor in de begroting méér budget beschikbaar te stellen.  </w:t>
      </w:r>
    </w:p>
    <w:p w:rsidR="003763F3" w:rsidRPr="009338CE" w:rsidRDefault="003763F3" w:rsidP="003763F3">
      <w:pPr>
        <w:spacing w:after="160" w:line="259" w:lineRule="auto"/>
        <w:rPr>
          <w:rFonts w:asciiTheme="minorHAnsi" w:eastAsia="Calibri" w:hAnsiTheme="minorHAnsi"/>
          <w:i/>
          <w:iCs/>
          <w:sz w:val="22"/>
          <w:szCs w:val="22"/>
          <w:lang w:eastAsia="en-US"/>
        </w:rPr>
      </w:pPr>
    </w:p>
    <w:p w:rsidR="003763F3" w:rsidRPr="003763F3" w:rsidRDefault="003763F3" w:rsidP="003763F3">
      <w:pPr>
        <w:numPr>
          <w:ilvl w:val="0"/>
          <w:numId w:val="3"/>
        </w:numPr>
        <w:spacing w:after="160" w:line="259" w:lineRule="auto"/>
        <w:contextualSpacing/>
        <w:rPr>
          <w:rFonts w:ascii="Calibri" w:eastAsia="Calibri" w:hAnsi="Calibri"/>
          <w:b/>
          <w:bCs/>
          <w:sz w:val="22"/>
          <w:szCs w:val="22"/>
          <w:lang w:eastAsia="en-US"/>
        </w:rPr>
      </w:pPr>
      <w:r w:rsidRPr="003763F3">
        <w:rPr>
          <w:rFonts w:ascii="Calibri" w:eastAsia="Calibri" w:hAnsi="Calibri"/>
          <w:b/>
          <w:bCs/>
          <w:sz w:val="22"/>
          <w:szCs w:val="22"/>
          <w:lang w:eastAsia="en-US"/>
        </w:rPr>
        <w:lastRenderedPageBreak/>
        <w:t xml:space="preserve">Meer kansen op Politieke participatie </w:t>
      </w:r>
      <w:r w:rsidR="008D1F2A">
        <w:rPr>
          <w:rFonts w:ascii="Calibri" w:eastAsia="Calibri" w:hAnsi="Calibri"/>
          <w:b/>
          <w:bCs/>
          <w:sz w:val="22"/>
          <w:szCs w:val="22"/>
          <w:lang w:eastAsia="en-US"/>
        </w:rPr>
        <w:br/>
      </w:r>
    </w:p>
    <w:p w:rsidR="003763F3" w:rsidRPr="003763F3" w:rsidRDefault="003763F3" w:rsidP="003763F3">
      <w:pPr>
        <w:spacing w:after="160" w:line="259" w:lineRule="auto"/>
        <w:rPr>
          <w:rFonts w:ascii="Calibri" w:eastAsia="Calibri" w:hAnsi="Calibri"/>
          <w:sz w:val="22"/>
          <w:szCs w:val="22"/>
          <w:lang w:eastAsia="en-US"/>
        </w:rPr>
      </w:pPr>
      <w:r w:rsidRPr="003763F3">
        <w:rPr>
          <w:rFonts w:ascii="Calibri" w:eastAsia="Calibri" w:hAnsi="Calibri"/>
          <w:sz w:val="22"/>
          <w:szCs w:val="22"/>
          <w:lang w:eastAsia="en-US"/>
        </w:rPr>
        <w:t>Het aantal mensen met een chronische aandoening of beperking in een politieke en bestuurlijke positie loopt achter ten opzichte van mensen zonder beperking. Ieder(in) vindt het belangrijk dat er meer politici en bestuurders met een beperking actief zijn. Hun voorbeeldfunctie heeft een belangrijke invloed op meer inclusie in de samenleving.</w:t>
      </w:r>
    </w:p>
    <w:p w:rsidR="006A323D" w:rsidRPr="003763F3" w:rsidRDefault="003763F3" w:rsidP="003763F3">
      <w:pPr>
        <w:spacing w:after="160" w:line="259" w:lineRule="auto"/>
        <w:rPr>
          <w:rFonts w:ascii="Calibri" w:eastAsia="Calibri" w:hAnsi="Calibri"/>
          <w:i/>
          <w:iCs/>
          <w:sz w:val="22"/>
          <w:szCs w:val="22"/>
          <w:lang w:eastAsia="en-US"/>
        </w:rPr>
      </w:pPr>
      <w:r w:rsidRPr="003763F3">
        <w:rPr>
          <w:rFonts w:ascii="Calibri" w:eastAsia="Calibri" w:hAnsi="Calibri"/>
          <w:i/>
          <w:iCs/>
          <w:sz w:val="22"/>
          <w:szCs w:val="22"/>
          <w:lang w:eastAsia="en-US"/>
        </w:rPr>
        <w:t xml:space="preserve">Wij vragen u </w:t>
      </w:r>
      <w:r w:rsidR="000E4AE4">
        <w:rPr>
          <w:rFonts w:ascii="Calibri" w:eastAsia="Calibri" w:hAnsi="Calibri"/>
          <w:i/>
          <w:iCs/>
          <w:sz w:val="22"/>
          <w:szCs w:val="22"/>
          <w:lang w:eastAsia="en-US"/>
        </w:rPr>
        <w:t>navraag te doen naar</w:t>
      </w:r>
      <w:r w:rsidRPr="003763F3">
        <w:rPr>
          <w:rFonts w:ascii="Calibri" w:eastAsia="Calibri" w:hAnsi="Calibri"/>
          <w:i/>
          <w:iCs/>
          <w:sz w:val="22"/>
          <w:szCs w:val="22"/>
          <w:lang w:eastAsia="en-US"/>
        </w:rPr>
        <w:t xml:space="preserve"> de stand van zaken rond het actieplan dat hiervo</w:t>
      </w:r>
      <w:r w:rsidR="00845BAB">
        <w:rPr>
          <w:rFonts w:ascii="Calibri" w:eastAsia="Calibri" w:hAnsi="Calibri"/>
          <w:i/>
          <w:iCs/>
          <w:sz w:val="22"/>
          <w:szCs w:val="22"/>
          <w:lang w:eastAsia="en-US"/>
        </w:rPr>
        <w:t>or is gem</w:t>
      </w:r>
      <w:r w:rsidR="00BF7A6F">
        <w:rPr>
          <w:rFonts w:ascii="Calibri" w:eastAsia="Calibri" w:hAnsi="Calibri"/>
          <w:i/>
          <w:iCs/>
          <w:sz w:val="22"/>
          <w:szCs w:val="22"/>
          <w:lang w:eastAsia="en-US"/>
        </w:rPr>
        <w:t>a</w:t>
      </w:r>
      <w:r w:rsidR="00845BAB">
        <w:rPr>
          <w:rFonts w:ascii="Calibri" w:eastAsia="Calibri" w:hAnsi="Calibri"/>
          <w:i/>
          <w:iCs/>
          <w:sz w:val="22"/>
          <w:szCs w:val="22"/>
          <w:lang w:eastAsia="en-US"/>
        </w:rPr>
        <w:t>akt en</w:t>
      </w:r>
      <w:r w:rsidR="000E4AE4">
        <w:rPr>
          <w:rFonts w:ascii="Calibri" w:eastAsia="Calibri" w:hAnsi="Calibri"/>
          <w:i/>
          <w:iCs/>
          <w:sz w:val="22"/>
          <w:szCs w:val="22"/>
          <w:lang w:eastAsia="en-US"/>
        </w:rPr>
        <w:t xml:space="preserve"> te stimuleren en </w:t>
      </w:r>
      <w:r w:rsidRPr="003763F3">
        <w:rPr>
          <w:rFonts w:ascii="Calibri" w:eastAsia="Calibri" w:hAnsi="Calibri"/>
          <w:i/>
          <w:iCs/>
          <w:sz w:val="22"/>
          <w:szCs w:val="22"/>
          <w:lang w:eastAsia="en-US"/>
        </w:rPr>
        <w:t xml:space="preserve">faciliteren </w:t>
      </w:r>
      <w:r w:rsidR="009B165A">
        <w:rPr>
          <w:rFonts w:ascii="Calibri" w:eastAsia="Calibri" w:hAnsi="Calibri"/>
          <w:i/>
          <w:iCs/>
          <w:sz w:val="22"/>
          <w:szCs w:val="22"/>
          <w:lang w:eastAsia="en-US"/>
        </w:rPr>
        <w:t xml:space="preserve">dat </w:t>
      </w:r>
      <w:r w:rsidR="000E4AE4">
        <w:rPr>
          <w:rFonts w:ascii="Calibri" w:eastAsia="Calibri" w:hAnsi="Calibri"/>
          <w:i/>
          <w:iCs/>
          <w:sz w:val="22"/>
          <w:szCs w:val="22"/>
          <w:lang w:eastAsia="en-US"/>
        </w:rPr>
        <w:t xml:space="preserve">het aantal </w:t>
      </w:r>
      <w:r w:rsidRPr="003763F3">
        <w:rPr>
          <w:rFonts w:ascii="Calibri" w:eastAsia="Calibri" w:hAnsi="Calibri"/>
          <w:i/>
          <w:iCs/>
          <w:sz w:val="22"/>
          <w:szCs w:val="22"/>
          <w:lang w:eastAsia="en-US"/>
        </w:rPr>
        <w:t xml:space="preserve">mensen met een beperking </w:t>
      </w:r>
      <w:r w:rsidR="000E4AE4">
        <w:rPr>
          <w:rFonts w:ascii="Calibri" w:eastAsia="Calibri" w:hAnsi="Calibri"/>
          <w:i/>
          <w:iCs/>
          <w:sz w:val="22"/>
          <w:szCs w:val="22"/>
          <w:lang w:eastAsia="en-US"/>
        </w:rPr>
        <w:t xml:space="preserve">dat </w:t>
      </w:r>
      <w:r w:rsidRPr="003763F3">
        <w:rPr>
          <w:rFonts w:ascii="Calibri" w:eastAsia="Calibri" w:hAnsi="Calibri"/>
          <w:i/>
          <w:iCs/>
          <w:sz w:val="22"/>
          <w:szCs w:val="22"/>
          <w:lang w:eastAsia="en-US"/>
        </w:rPr>
        <w:t xml:space="preserve">bestuurlijk of politiek actief is in Nederland </w:t>
      </w:r>
      <w:r w:rsidR="009B165A">
        <w:rPr>
          <w:rFonts w:ascii="Calibri" w:eastAsia="Calibri" w:hAnsi="Calibri"/>
          <w:i/>
          <w:iCs/>
          <w:sz w:val="22"/>
          <w:szCs w:val="22"/>
          <w:lang w:eastAsia="en-US"/>
        </w:rPr>
        <w:t>wordt vergroot</w:t>
      </w:r>
      <w:r w:rsidRPr="003763F3">
        <w:rPr>
          <w:rFonts w:ascii="Calibri" w:eastAsia="Calibri" w:hAnsi="Calibri"/>
          <w:i/>
          <w:iCs/>
          <w:sz w:val="22"/>
          <w:szCs w:val="22"/>
          <w:lang w:eastAsia="en-US"/>
        </w:rPr>
        <w:t>.</w:t>
      </w:r>
    </w:p>
    <w:p w:rsidR="003763F3" w:rsidRPr="003763F3" w:rsidRDefault="003763F3" w:rsidP="003763F3">
      <w:pPr>
        <w:spacing w:after="160" w:line="259" w:lineRule="auto"/>
        <w:rPr>
          <w:rFonts w:ascii="Calibri" w:eastAsia="Calibri" w:hAnsi="Calibri"/>
          <w:sz w:val="22"/>
          <w:szCs w:val="22"/>
          <w:lang w:eastAsia="en-US"/>
        </w:rPr>
      </w:pPr>
      <w:r w:rsidRPr="003763F3">
        <w:rPr>
          <w:rFonts w:ascii="Calibri" w:eastAsia="Calibri" w:hAnsi="Calibri"/>
          <w:sz w:val="22"/>
          <w:szCs w:val="22"/>
          <w:lang w:eastAsia="en-US"/>
        </w:rPr>
        <w:t>Wij vertrouwen erop dat u deze punten meeneemt in het debat.</w:t>
      </w:r>
    </w:p>
    <w:p w:rsidR="003763F3" w:rsidRDefault="003763F3" w:rsidP="003763F3">
      <w:pPr>
        <w:spacing w:after="160" w:line="259" w:lineRule="auto"/>
        <w:rPr>
          <w:rFonts w:ascii="Calibri" w:eastAsia="Calibri" w:hAnsi="Calibri"/>
          <w:sz w:val="22"/>
          <w:szCs w:val="22"/>
          <w:lang w:eastAsia="en-US"/>
        </w:rPr>
      </w:pPr>
      <w:r w:rsidRPr="003763F3">
        <w:rPr>
          <w:rFonts w:ascii="Calibri" w:eastAsia="Calibri" w:hAnsi="Calibri"/>
          <w:sz w:val="22"/>
          <w:szCs w:val="22"/>
          <w:lang w:eastAsia="en-US"/>
        </w:rPr>
        <w:t xml:space="preserve">Met vriendelijke groet, </w:t>
      </w:r>
      <w:bookmarkStart w:id="2" w:name="_GoBack"/>
      <w:bookmarkEnd w:id="2"/>
    </w:p>
    <w:p w:rsidR="005E7FB2" w:rsidRDefault="005E7FB2" w:rsidP="003763F3">
      <w:pPr>
        <w:spacing w:after="160" w:line="259" w:lineRule="auto"/>
        <w:rPr>
          <w:rFonts w:ascii="Calibri" w:eastAsia="Calibri" w:hAnsi="Calibri"/>
          <w:sz w:val="22"/>
          <w:szCs w:val="22"/>
          <w:lang w:eastAsia="en-US"/>
        </w:rPr>
      </w:pPr>
      <w:r>
        <w:rPr>
          <w:rFonts w:ascii="Calibri" w:eastAsia="Calibri" w:hAnsi="Calibri"/>
          <w:noProof/>
          <w:sz w:val="22"/>
          <w:szCs w:val="22"/>
        </w:rPr>
        <w:drawing>
          <wp:inline distT="0" distB="0" distL="0" distR="0" wp14:anchorId="6E9217A9">
            <wp:extent cx="1371600" cy="932815"/>
            <wp:effectExtent l="0" t="0" r="0" b="635"/>
            <wp:docPr id="33" name="Afbeelding 33" title="Handtekening Illya So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32815"/>
                    </a:xfrm>
                    <a:prstGeom prst="rect">
                      <a:avLst/>
                    </a:prstGeom>
                    <a:noFill/>
                  </pic:spPr>
                </pic:pic>
              </a:graphicData>
            </a:graphic>
          </wp:inline>
        </w:drawing>
      </w:r>
    </w:p>
    <w:p w:rsidR="003763F3" w:rsidRPr="003763F3" w:rsidRDefault="003763F3" w:rsidP="003763F3">
      <w:pPr>
        <w:spacing w:after="160" w:line="259" w:lineRule="auto"/>
        <w:rPr>
          <w:rFonts w:ascii="Calibri" w:eastAsia="Calibri" w:hAnsi="Calibri"/>
          <w:sz w:val="22"/>
          <w:szCs w:val="22"/>
          <w:lang w:eastAsia="en-US"/>
        </w:rPr>
      </w:pPr>
      <w:r w:rsidRPr="003763F3">
        <w:rPr>
          <w:rFonts w:ascii="Calibri" w:eastAsia="Calibri" w:hAnsi="Calibri"/>
          <w:sz w:val="22"/>
          <w:szCs w:val="22"/>
          <w:lang w:eastAsia="en-US"/>
        </w:rPr>
        <w:t>Illya Soffer</w:t>
      </w:r>
      <w:r w:rsidR="008D1F2A">
        <w:rPr>
          <w:rFonts w:ascii="Calibri" w:eastAsia="Calibri" w:hAnsi="Calibri"/>
          <w:sz w:val="22"/>
          <w:szCs w:val="22"/>
          <w:lang w:eastAsia="en-US"/>
        </w:rPr>
        <w:br/>
        <w:t>directeur</w:t>
      </w:r>
    </w:p>
    <w:p w:rsidR="003763F3" w:rsidRPr="003763F3" w:rsidRDefault="003763F3" w:rsidP="003763F3">
      <w:pPr>
        <w:spacing w:after="160" w:line="259" w:lineRule="auto"/>
        <w:rPr>
          <w:rFonts w:ascii="Calibri" w:eastAsia="Calibri" w:hAnsi="Calibri"/>
          <w:b/>
          <w:sz w:val="22"/>
          <w:szCs w:val="22"/>
          <w:lang w:eastAsia="en-US"/>
        </w:rPr>
      </w:pPr>
    </w:p>
    <w:p w:rsidR="003763F3" w:rsidRPr="003763F3" w:rsidRDefault="003763F3" w:rsidP="003763F3">
      <w:pPr>
        <w:spacing w:after="160" w:line="259" w:lineRule="auto"/>
        <w:rPr>
          <w:rFonts w:ascii="Calibri" w:eastAsia="Calibri" w:hAnsi="Calibri"/>
          <w:b/>
          <w:sz w:val="22"/>
          <w:szCs w:val="22"/>
          <w:lang w:eastAsia="en-US"/>
        </w:rPr>
      </w:pPr>
    </w:p>
    <w:p w:rsidR="00DC405D" w:rsidRDefault="00DC405D" w:rsidP="00DC405D"/>
    <w:p w:rsidR="00DC405D" w:rsidRDefault="00DC405D" w:rsidP="00DC405D"/>
    <w:p w:rsidR="00DC405D" w:rsidRDefault="00DC405D" w:rsidP="00DC405D"/>
    <w:p w:rsidR="00DC405D" w:rsidRPr="00DC405D" w:rsidRDefault="00DC405D" w:rsidP="00DC405D"/>
    <w:sectPr w:rsidR="00DC405D" w:rsidRPr="00DC405D" w:rsidSect="008D1F2A">
      <w:headerReference w:type="default" r:id="rId10"/>
      <w:footerReference w:type="default" r:id="rId11"/>
      <w:headerReference w:type="first" r:id="rId12"/>
      <w:footerReference w:type="first" r:id="rId13"/>
      <w:pgSz w:w="11906" w:h="16838"/>
      <w:pgMar w:top="2409" w:right="1134" w:bottom="1701" w:left="1701" w:header="709" w:footer="1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5D" w:rsidRDefault="00DC405D">
      <w:r>
        <w:separator/>
      </w:r>
    </w:p>
  </w:endnote>
  <w:endnote w:type="continuationSeparator" w:id="0">
    <w:p w:rsidR="00DC405D" w:rsidRDefault="00DC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5D" w:rsidRPr="00DC405D" w:rsidRDefault="00DC405D" w:rsidP="00DC405D">
    <w:pPr>
      <w:pStyle w:val="Voettekst"/>
    </w:pPr>
    <w:r>
      <w:tab/>
      <w:t xml:space="preserve">Pagina </w:t>
    </w:r>
    <w:r w:rsidRPr="00C37AB4">
      <w:fldChar w:fldCharType="begin"/>
    </w:r>
    <w:r w:rsidRPr="00C37AB4">
      <w:instrText xml:space="preserve"> PAGE  \# "0"  \* MERGEFORMAT </w:instrText>
    </w:r>
    <w:r w:rsidRPr="00C37AB4">
      <w:fldChar w:fldCharType="separate"/>
    </w:r>
    <w:r w:rsidR="00BF7A6F" w:rsidRPr="00BF7A6F">
      <w:rPr>
        <w:bCs/>
        <w:noProof/>
      </w:rPr>
      <w:t>3</w:t>
    </w:r>
    <w:r w:rsidRPr="00C37AB4">
      <w:fldChar w:fldCharType="end"/>
    </w:r>
    <w:r w:rsidRPr="00C37AB4">
      <w:t xml:space="preserve"> </w:t>
    </w:r>
    <w:r>
      <w:t>/</w:t>
    </w:r>
    <w:r w:rsidRPr="00C37AB4">
      <w:t xml:space="preserve"> </w:t>
    </w:r>
    <w:r w:rsidRPr="00C37AB4">
      <w:fldChar w:fldCharType="begin"/>
    </w:r>
    <w:r w:rsidRPr="00C37AB4">
      <w:instrText xml:space="preserve"> NUMPAGES  \# "0"  \* MERGEFORMAT </w:instrText>
    </w:r>
    <w:r w:rsidRPr="00C37AB4">
      <w:fldChar w:fldCharType="separate"/>
    </w:r>
    <w:r w:rsidR="00BF7A6F">
      <w:rPr>
        <w:noProof/>
      </w:rPr>
      <w:t>3</w:t>
    </w:r>
    <w:r w:rsidRPr="00C37AB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82" w:rsidRPr="00DC405D" w:rsidRDefault="00DC405D" w:rsidP="00DC405D">
    <w:r>
      <w:rPr>
        <w:noProof/>
      </w:rPr>
      <w:drawing>
        <wp:anchor distT="0" distB="0" distL="114300" distR="114300" simplePos="0" relativeHeight="251658240" behindDoc="1" locked="0" layoutInCell="1" allowOverlap="1" wp14:anchorId="686CD35C" wp14:editId="31F5707A">
          <wp:simplePos x="0" y="0"/>
          <wp:positionH relativeFrom="column">
            <wp:posOffset>1214</wp:posOffset>
          </wp:positionH>
          <wp:positionV relativeFrom="paragraph">
            <wp:posOffset>19685</wp:posOffset>
          </wp:positionV>
          <wp:extent cx="5760085" cy="443230"/>
          <wp:effectExtent l="0" t="0" r="0" b="0"/>
          <wp:wrapNone/>
          <wp:docPr id="32" name="Afbeelding 32" title="Adresgegevens Ied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blok_Brief.png"/>
                  <pic:cNvPicPr/>
                </pic:nvPicPr>
                <pic:blipFill>
                  <a:blip r:embed="rId1">
                    <a:extLst>
                      <a:ext uri="{28A0092B-C50C-407E-A947-70E740481C1C}">
                        <a14:useLocalDpi xmlns:a14="http://schemas.microsoft.com/office/drawing/2010/main" val="0"/>
                      </a:ext>
                    </a:extLst>
                  </a:blip>
                  <a:stretch>
                    <a:fillRect/>
                  </a:stretch>
                </pic:blipFill>
                <pic:spPr>
                  <a:xfrm>
                    <a:off x="0" y="0"/>
                    <a:ext cx="5760085" cy="443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5D" w:rsidRDefault="00DC405D">
      <w:r>
        <w:separator/>
      </w:r>
    </w:p>
  </w:footnote>
  <w:footnote w:type="continuationSeparator" w:id="0">
    <w:p w:rsidR="00DC405D" w:rsidRDefault="00DC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5D" w:rsidRPr="00DC405D" w:rsidRDefault="00DC405D" w:rsidP="00DC405D">
    <w:pPr>
      <w:pStyle w:val="Koptekst"/>
    </w:pPr>
    <w:r>
      <w:rPr>
        <w:noProof/>
      </w:rPr>
      <w:drawing>
        <wp:anchor distT="0" distB="0" distL="114300" distR="114300" simplePos="0" relativeHeight="251660288" behindDoc="1" locked="0" layoutInCell="1" allowOverlap="1">
          <wp:simplePos x="0" y="0"/>
          <wp:positionH relativeFrom="page">
            <wp:posOffset>2772410</wp:posOffset>
          </wp:positionH>
          <wp:positionV relativeFrom="page">
            <wp:posOffset>360045</wp:posOffset>
          </wp:positionV>
          <wp:extent cx="2023200" cy="810000"/>
          <wp:effectExtent l="0" t="0" r="0" b="9525"/>
          <wp:wrapNone/>
          <wp:docPr id="30" name="Afbeelding 30" title="Logo Ied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82" w:rsidRPr="00DC405D" w:rsidRDefault="00DC405D" w:rsidP="00DC405D">
    <w:pPr>
      <w:pStyle w:val="Koptekst"/>
    </w:pPr>
    <w:r>
      <w:rPr>
        <w:noProof/>
      </w:rPr>
      <w:drawing>
        <wp:anchor distT="0" distB="0" distL="114300" distR="114300" simplePos="0" relativeHeight="251656192" behindDoc="1" locked="0" layoutInCell="1" allowOverlap="1">
          <wp:simplePos x="0" y="0"/>
          <wp:positionH relativeFrom="page">
            <wp:posOffset>2772410</wp:posOffset>
          </wp:positionH>
          <wp:positionV relativeFrom="page">
            <wp:posOffset>360045</wp:posOffset>
          </wp:positionV>
          <wp:extent cx="2023200" cy="810000"/>
          <wp:effectExtent l="0" t="0" r="0" b="9525"/>
          <wp:wrapNone/>
          <wp:docPr id="31" name="Afbeelding 31" title="Logo Ied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200" cy="81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0440"/>
    <w:multiLevelType w:val="hybridMultilevel"/>
    <w:tmpl w:val="173498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3C262E"/>
    <w:multiLevelType w:val="hybridMultilevel"/>
    <w:tmpl w:val="8F2C31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9256DB2"/>
    <w:multiLevelType w:val="hybridMultilevel"/>
    <w:tmpl w:val="19646980"/>
    <w:lvl w:ilvl="0" w:tplc="6D6AD38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3E6746"/>
    <w:multiLevelType w:val="hybridMultilevel"/>
    <w:tmpl w:val="46B26D42"/>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8831591"/>
    <w:multiLevelType w:val="hybridMultilevel"/>
    <w:tmpl w:val="9210006E"/>
    <w:lvl w:ilvl="0" w:tplc="B560CF76">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1" w:val="Tweede Kamer der Staten-Generaal"/>
    <w:docVar w:name="Adres2" w:val="Vaste Commissie voor Buitenlandse Zaken"/>
    <w:docVar w:name="Adres3" w:val="Postbus 20018"/>
    <w:docVar w:name="Adres4" w:val="2500 EA  'S-GRAVENHAGE"/>
    <w:docVar w:name="Auteurnr" w:val="1"/>
    <w:docVar w:name="Datum" w:val="7-10-2020"/>
    <w:docVar w:name="Dotdatum" w:val="22-12-2016 (27-6-2014)"/>
    <w:docVar w:name="DotVersie" w:val="2.11"/>
    <w:docVar w:name="Envelop" w:val="2"/>
    <w:docVar w:name="KopVoetgeplaatst" w:val="Waar"/>
    <w:docVar w:name="Logo" w:val="Waar"/>
    <w:docVar w:name="Referentie" w:val="UN"/>
    <w:docVar w:name="Volgvel" w:val="3"/>
    <w:docVar w:name="Voorblad" w:val="3"/>
  </w:docVars>
  <w:rsids>
    <w:rsidRoot w:val="00DC405D"/>
    <w:rsid w:val="00001D0A"/>
    <w:rsid w:val="000027ED"/>
    <w:rsid w:val="00005467"/>
    <w:rsid w:val="00012134"/>
    <w:rsid w:val="000136E0"/>
    <w:rsid w:val="00016DDE"/>
    <w:rsid w:val="00017096"/>
    <w:rsid w:val="00040587"/>
    <w:rsid w:val="00044308"/>
    <w:rsid w:val="0004610B"/>
    <w:rsid w:val="0004613A"/>
    <w:rsid w:val="0004618A"/>
    <w:rsid w:val="00056377"/>
    <w:rsid w:val="0006298F"/>
    <w:rsid w:val="0006354E"/>
    <w:rsid w:val="00084F1F"/>
    <w:rsid w:val="00090531"/>
    <w:rsid w:val="000C0F59"/>
    <w:rsid w:val="000C2475"/>
    <w:rsid w:val="000D111C"/>
    <w:rsid w:val="000D6577"/>
    <w:rsid w:val="000E0FFF"/>
    <w:rsid w:val="000E2D8C"/>
    <w:rsid w:val="000E4AE4"/>
    <w:rsid w:val="000E7D12"/>
    <w:rsid w:val="00103C12"/>
    <w:rsid w:val="00110A5A"/>
    <w:rsid w:val="00110DCE"/>
    <w:rsid w:val="001137F5"/>
    <w:rsid w:val="00123E14"/>
    <w:rsid w:val="001341F2"/>
    <w:rsid w:val="00144E91"/>
    <w:rsid w:val="00146DBA"/>
    <w:rsid w:val="00146FED"/>
    <w:rsid w:val="00150A02"/>
    <w:rsid w:val="00152576"/>
    <w:rsid w:val="00163294"/>
    <w:rsid w:val="00172523"/>
    <w:rsid w:val="0018000B"/>
    <w:rsid w:val="00180182"/>
    <w:rsid w:val="001834F7"/>
    <w:rsid w:val="001A0BBB"/>
    <w:rsid w:val="001B1889"/>
    <w:rsid w:val="001B433B"/>
    <w:rsid w:val="001B4B4D"/>
    <w:rsid w:val="001B73FA"/>
    <w:rsid w:val="001B7C2F"/>
    <w:rsid w:val="001B7F46"/>
    <w:rsid w:val="001C67B3"/>
    <w:rsid w:val="001C789A"/>
    <w:rsid w:val="001D07C5"/>
    <w:rsid w:val="001F5A44"/>
    <w:rsid w:val="00212EA3"/>
    <w:rsid w:val="00213112"/>
    <w:rsid w:val="0021457D"/>
    <w:rsid w:val="00233981"/>
    <w:rsid w:val="00236811"/>
    <w:rsid w:val="002413A2"/>
    <w:rsid w:val="0025114F"/>
    <w:rsid w:val="002528BE"/>
    <w:rsid w:val="0025794C"/>
    <w:rsid w:val="0026004A"/>
    <w:rsid w:val="002654B2"/>
    <w:rsid w:val="0026576A"/>
    <w:rsid w:val="00274CBB"/>
    <w:rsid w:val="00286BA4"/>
    <w:rsid w:val="00295245"/>
    <w:rsid w:val="002A217D"/>
    <w:rsid w:val="002B4252"/>
    <w:rsid w:val="002C4107"/>
    <w:rsid w:val="002D5564"/>
    <w:rsid w:val="002E1A23"/>
    <w:rsid w:val="002E5CD0"/>
    <w:rsid w:val="002F106B"/>
    <w:rsid w:val="002F6D24"/>
    <w:rsid w:val="002F73C7"/>
    <w:rsid w:val="00302486"/>
    <w:rsid w:val="0031055E"/>
    <w:rsid w:val="00313B5C"/>
    <w:rsid w:val="00315152"/>
    <w:rsid w:val="00315FF5"/>
    <w:rsid w:val="00316EC2"/>
    <w:rsid w:val="003217B4"/>
    <w:rsid w:val="003218BB"/>
    <w:rsid w:val="00323F53"/>
    <w:rsid w:val="0032505A"/>
    <w:rsid w:val="0033392B"/>
    <w:rsid w:val="00333CE4"/>
    <w:rsid w:val="00340410"/>
    <w:rsid w:val="00354D8B"/>
    <w:rsid w:val="00356EF0"/>
    <w:rsid w:val="003606C7"/>
    <w:rsid w:val="003634C6"/>
    <w:rsid w:val="0037092F"/>
    <w:rsid w:val="003763F3"/>
    <w:rsid w:val="00377273"/>
    <w:rsid w:val="00381AC4"/>
    <w:rsid w:val="0039546B"/>
    <w:rsid w:val="00396BCD"/>
    <w:rsid w:val="003A4DF7"/>
    <w:rsid w:val="003A6683"/>
    <w:rsid w:val="003C17FE"/>
    <w:rsid w:val="003C59D6"/>
    <w:rsid w:val="003E388D"/>
    <w:rsid w:val="003E469C"/>
    <w:rsid w:val="003E7B6B"/>
    <w:rsid w:val="003F2A61"/>
    <w:rsid w:val="003F3421"/>
    <w:rsid w:val="003F41E0"/>
    <w:rsid w:val="00413E7B"/>
    <w:rsid w:val="00415702"/>
    <w:rsid w:val="00426B1D"/>
    <w:rsid w:val="00434527"/>
    <w:rsid w:val="0043498D"/>
    <w:rsid w:val="00441F49"/>
    <w:rsid w:val="004442A1"/>
    <w:rsid w:val="00445B15"/>
    <w:rsid w:val="00446C70"/>
    <w:rsid w:val="00464B17"/>
    <w:rsid w:val="00473BCC"/>
    <w:rsid w:val="00475A8A"/>
    <w:rsid w:val="004774F6"/>
    <w:rsid w:val="00480AC8"/>
    <w:rsid w:val="0048561F"/>
    <w:rsid w:val="00487D0E"/>
    <w:rsid w:val="004963B5"/>
    <w:rsid w:val="004B2BCE"/>
    <w:rsid w:val="004B4AE8"/>
    <w:rsid w:val="004C75D0"/>
    <w:rsid w:val="004E0E6A"/>
    <w:rsid w:val="004E5C69"/>
    <w:rsid w:val="004E6D61"/>
    <w:rsid w:val="00503979"/>
    <w:rsid w:val="00504F6C"/>
    <w:rsid w:val="005123E0"/>
    <w:rsid w:val="005127F6"/>
    <w:rsid w:val="00517281"/>
    <w:rsid w:val="005176EF"/>
    <w:rsid w:val="00517723"/>
    <w:rsid w:val="00517854"/>
    <w:rsid w:val="0052746F"/>
    <w:rsid w:val="0053380D"/>
    <w:rsid w:val="0053697D"/>
    <w:rsid w:val="0055031B"/>
    <w:rsid w:val="00555C0E"/>
    <w:rsid w:val="00557E25"/>
    <w:rsid w:val="0056317E"/>
    <w:rsid w:val="00572303"/>
    <w:rsid w:val="00572EE5"/>
    <w:rsid w:val="00584711"/>
    <w:rsid w:val="00593354"/>
    <w:rsid w:val="005943E0"/>
    <w:rsid w:val="00595E36"/>
    <w:rsid w:val="005A6CB3"/>
    <w:rsid w:val="005B276A"/>
    <w:rsid w:val="005B5B32"/>
    <w:rsid w:val="005C1D47"/>
    <w:rsid w:val="005C62DF"/>
    <w:rsid w:val="005E6E83"/>
    <w:rsid w:val="005E7FB2"/>
    <w:rsid w:val="005F009C"/>
    <w:rsid w:val="005F62FA"/>
    <w:rsid w:val="005F750B"/>
    <w:rsid w:val="005F75D8"/>
    <w:rsid w:val="005F7616"/>
    <w:rsid w:val="00610094"/>
    <w:rsid w:val="006159DA"/>
    <w:rsid w:val="006308E1"/>
    <w:rsid w:val="00631816"/>
    <w:rsid w:val="00633856"/>
    <w:rsid w:val="006353ED"/>
    <w:rsid w:val="00642598"/>
    <w:rsid w:val="006438EC"/>
    <w:rsid w:val="0065583D"/>
    <w:rsid w:val="00657048"/>
    <w:rsid w:val="00660536"/>
    <w:rsid w:val="006608C8"/>
    <w:rsid w:val="00661E46"/>
    <w:rsid w:val="0066274F"/>
    <w:rsid w:val="00671AAB"/>
    <w:rsid w:val="00677FC2"/>
    <w:rsid w:val="006811E1"/>
    <w:rsid w:val="00681A20"/>
    <w:rsid w:val="006842E1"/>
    <w:rsid w:val="00690F9D"/>
    <w:rsid w:val="006A323D"/>
    <w:rsid w:val="006B3DD3"/>
    <w:rsid w:val="006B7744"/>
    <w:rsid w:val="006C0E3B"/>
    <w:rsid w:val="006D7BAC"/>
    <w:rsid w:val="006E5230"/>
    <w:rsid w:val="006F3F7D"/>
    <w:rsid w:val="006F4557"/>
    <w:rsid w:val="00707A90"/>
    <w:rsid w:val="007167BD"/>
    <w:rsid w:val="00717E5A"/>
    <w:rsid w:val="007229DE"/>
    <w:rsid w:val="00732A54"/>
    <w:rsid w:val="007371E0"/>
    <w:rsid w:val="00743488"/>
    <w:rsid w:val="007524D9"/>
    <w:rsid w:val="00754403"/>
    <w:rsid w:val="00754882"/>
    <w:rsid w:val="00755D11"/>
    <w:rsid w:val="00776489"/>
    <w:rsid w:val="00784198"/>
    <w:rsid w:val="007975D9"/>
    <w:rsid w:val="007A4E62"/>
    <w:rsid w:val="007B2753"/>
    <w:rsid w:val="007B443A"/>
    <w:rsid w:val="007B7746"/>
    <w:rsid w:val="007C6ADD"/>
    <w:rsid w:val="007D3EFF"/>
    <w:rsid w:val="007D70CB"/>
    <w:rsid w:val="007E009B"/>
    <w:rsid w:val="007F43AE"/>
    <w:rsid w:val="00800607"/>
    <w:rsid w:val="00802BEB"/>
    <w:rsid w:val="008060F0"/>
    <w:rsid w:val="00815C51"/>
    <w:rsid w:val="00820088"/>
    <w:rsid w:val="008242D2"/>
    <w:rsid w:val="00825460"/>
    <w:rsid w:val="00831AA8"/>
    <w:rsid w:val="00834634"/>
    <w:rsid w:val="008374D5"/>
    <w:rsid w:val="00840866"/>
    <w:rsid w:val="00845B28"/>
    <w:rsid w:val="00845BAB"/>
    <w:rsid w:val="008507A3"/>
    <w:rsid w:val="00854FF7"/>
    <w:rsid w:val="0085742F"/>
    <w:rsid w:val="00861471"/>
    <w:rsid w:val="008825F9"/>
    <w:rsid w:val="0088278B"/>
    <w:rsid w:val="00886E44"/>
    <w:rsid w:val="00891322"/>
    <w:rsid w:val="008960C1"/>
    <w:rsid w:val="008B1B16"/>
    <w:rsid w:val="008B2B31"/>
    <w:rsid w:val="008C6FEF"/>
    <w:rsid w:val="008D1F2A"/>
    <w:rsid w:val="008D3C30"/>
    <w:rsid w:val="008D499B"/>
    <w:rsid w:val="008D5C47"/>
    <w:rsid w:val="008D62DE"/>
    <w:rsid w:val="008E0780"/>
    <w:rsid w:val="008E5A02"/>
    <w:rsid w:val="008F7295"/>
    <w:rsid w:val="00900FA8"/>
    <w:rsid w:val="00905259"/>
    <w:rsid w:val="00912274"/>
    <w:rsid w:val="0091365F"/>
    <w:rsid w:val="00914E74"/>
    <w:rsid w:val="00922E46"/>
    <w:rsid w:val="009324B6"/>
    <w:rsid w:val="009338CE"/>
    <w:rsid w:val="00941FD5"/>
    <w:rsid w:val="009542D2"/>
    <w:rsid w:val="00962F56"/>
    <w:rsid w:val="00966CCC"/>
    <w:rsid w:val="00973632"/>
    <w:rsid w:val="00973DC3"/>
    <w:rsid w:val="0097526E"/>
    <w:rsid w:val="00984B2D"/>
    <w:rsid w:val="00992C65"/>
    <w:rsid w:val="00995ACF"/>
    <w:rsid w:val="009B165A"/>
    <w:rsid w:val="009C5ADD"/>
    <w:rsid w:val="009C6BE0"/>
    <w:rsid w:val="009C7880"/>
    <w:rsid w:val="009D310B"/>
    <w:rsid w:val="009D6EBD"/>
    <w:rsid w:val="009E2A14"/>
    <w:rsid w:val="009E6DCB"/>
    <w:rsid w:val="00A00728"/>
    <w:rsid w:val="00A0361B"/>
    <w:rsid w:val="00A13F1A"/>
    <w:rsid w:val="00A15280"/>
    <w:rsid w:val="00A2151E"/>
    <w:rsid w:val="00A306AF"/>
    <w:rsid w:val="00A32A96"/>
    <w:rsid w:val="00A32D2A"/>
    <w:rsid w:val="00A337F1"/>
    <w:rsid w:val="00A37A98"/>
    <w:rsid w:val="00A5438B"/>
    <w:rsid w:val="00A62FAC"/>
    <w:rsid w:val="00A75219"/>
    <w:rsid w:val="00A93D36"/>
    <w:rsid w:val="00A95AFE"/>
    <w:rsid w:val="00A95E03"/>
    <w:rsid w:val="00AA19E0"/>
    <w:rsid w:val="00AB5F40"/>
    <w:rsid w:val="00AC08F2"/>
    <w:rsid w:val="00AC4DCA"/>
    <w:rsid w:val="00AC68A0"/>
    <w:rsid w:val="00AD2B1A"/>
    <w:rsid w:val="00AD30F5"/>
    <w:rsid w:val="00AD7B09"/>
    <w:rsid w:val="00AE2365"/>
    <w:rsid w:val="00AE2443"/>
    <w:rsid w:val="00AE475A"/>
    <w:rsid w:val="00AE6243"/>
    <w:rsid w:val="00AE7ACC"/>
    <w:rsid w:val="00AF1B5F"/>
    <w:rsid w:val="00AF32DC"/>
    <w:rsid w:val="00B010C4"/>
    <w:rsid w:val="00B04DDC"/>
    <w:rsid w:val="00B11904"/>
    <w:rsid w:val="00B2097F"/>
    <w:rsid w:val="00B2126D"/>
    <w:rsid w:val="00B2385B"/>
    <w:rsid w:val="00B35213"/>
    <w:rsid w:val="00B3572D"/>
    <w:rsid w:val="00B434C9"/>
    <w:rsid w:val="00B43D5D"/>
    <w:rsid w:val="00B470A5"/>
    <w:rsid w:val="00B476AC"/>
    <w:rsid w:val="00B667BB"/>
    <w:rsid w:val="00B76382"/>
    <w:rsid w:val="00B81362"/>
    <w:rsid w:val="00B83BC7"/>
    <w:rsid w:val="00B83DA0"/>
    <w:rsid w:val="00BA3AD9"/>
    <w:rsid w:val="00BA6C38"/>
    <w:rsid w:val="00BC2E45"/>
    <w:rsid w:val="00BC393E"/>
    <w:rsid w:val="00BC5F02"/>
    <w:rsid w:val="00BD2FEE"/>
    <w:rsid w:val="00BD3533"/>
    <w:rsid w:val="00BD36A5"/>
    <w:rsid w:val="00BD3D40"/>
    <w:rsid w:val="00BF4C21"/>
    <w:rsid w:val="00BF7A6F"/>
    <w:rsid w:val="00C102CC"/>
    <w:rsid w:val="00C23CA2"/>
    <w:rsid w:val="00C24F6D"/>
    <w:rsid w:val="00C3030D"/>
    <w:rsid w:val="00C3366F"/>
    <w:rsid w:val="00C42D3F"/>
    <w:rsid w:val="00C57D03"/>
    <w:rsid w:val="00C600D8"/>
    <w:rsid w:val="00C63CCB"/>
    <w:rsid w:val="00C63F66"/>
    <w:rsid w:val="00C660D9"/>
    <w:rsid w:val="00C73BDF"/>
    <w:rsid w:val="00C75803"/>
    <w:rsid w:val="00C876BB"/>
    <w:rsid w:val="00C90394"/>
    <w:rsid w:val="00CA3236"/>
    <w:rsid w:val="00CC7B86"/>
    <w:rsid w:val="00CC7FA0"/>
    <w:rsid w:val="00CE7B8F"/>
    <w:rsid w:val="00CF2CAB"/>
    <w:rsid w:val="00CF3B32"/>
    <w:rsid w:val="00CF3CFF"/>
    <w:rsid w:val="00D108E9"/>
    <w:rsid w:val="00D11BAF"/>
    <w:rsid w:val="00D120CF"/>
    <w:rsid w:val="00D1444D"/>
    <w:rsid w:val="00D15BED"/>
    <w:rsid w:val="00D2249C"/>
    <w:rsid w:val="00D23D9F"/>
    <w:rsid w:val="00D279E4"/>
    <w:rsid w:val="00D3326E"/>
    <w:rsid w:val="00D43480"/>
    <w:rsid w:val="00D45F8A"/>
    <w:rsid w:val="00D507B8"/>
    <w:rsid w:val="00D5208C"/>
    <w:rsid w:val="00D63DAB"/>
    <w:rsid w:val="00D7096C"/>
    <w:rsid w:val="00D70E1B"/>
    <w:rsid w:val="00D813EC"/>
    <w:rsid w:val="00D82B6A"/>
    <w:rsid w:val="00D866C9"/>
    <w:rsid w:val="00D924FD"/>
    <w:rsid w:val="00D9554C"/>
    <w:rsid w:val="00D96491"/>
    <w:rsid w:val="00DA2119"/>
    <w:rsid w:val="00DA3110"/>
    <w:rsid w:val="00DA7B70"/>
    <w:rsid w:val="00DB14B1"/>
    <w:rsid w:val="00DB74BF"/>
    <w:rsid w:val="00DC405D"/>
    <w:rsid w:val="00DD336D"/>
    <w:rsid w:val="00DF18D2"/>
    <w:rsid w:val="00DF22B6"/>
    <w:rsid w:val="00DF6396"/>
    <w:rsid w:val="00E06859"/>
    <w:rsid w:val="00E23882"/>
    <w:rsid w:val="00E255C0"/>
    <w:rsid w:val="00E26C80"/>
    <w:rsid w:val="00E5333D"/>
    <w:rsid w:val="00E53390"/>
    <w:rsid w:val="00E66F69"/>
    <w:rsid w:val="00E7341D"/>
    <w:rsid w:val="00E85484"/>
    <w:rsid w:val="00E920FB"/>
    <w:rsid w:val="00EA17B7"/>
    <w:rsid w:val="00EB19E8"/>
    <w:rsid w:val="00EC447F"/>
    <w:rsid w:val="00EC68AA"/>
    <w:rsid w:val="00ED080C"/>
    <w:rsid w:val="00ED300A"/>
    <w:rsid w:val="00EE0C45"/>
    <w:rsid w:val="00EE634F"/>
    <w:rsid w:val="00EF5E36"/>
    <w:rsid w:val="00F045FA"/>
    <w:rsid w:val="00F12BE1"/>
    <w:rsid w:val="00F15FF3"/>
    <w:rsid w:val="00F168BE"/>
    <w:rsid w:val="00F366D9"/>
    <w:rsid w:val="00F41236"/>
    <w:rsid w:val="00F45A95"/>
    <w:rsid w:val="00F67D73"/>
    <w:rsid w:val="00F70C6D"/>
    <w:rsid w:val="00F73BEC"/>
    <w:rsid w:val="00F80A73"/>
    <w:rsid w:val="00F80E0E"/>
    <w:rsid w:val="00F84ABE"/>
    <w:rsid w:val="00F947F9"/>
    <w:rsid w:val="00FA3608"/>
    <w:rsid w:val="00FB5FFC"/>
    <w:rsid w:val="00FC0420"/>
    <w:rsid w:val="00FC1F98"/>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D8A457"/>
  <w15:docId w15:val="{CF173570-DD53-4748-9F57-260E8373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Lijstalinea">
    <w:name w:val="List Paragraph"/>
    <w:basedOn w:val="Standaard"/>
    <w:uiPriority w:val="34"/>
    <w:qFormat/>
    <w:rsid w:val="000027ED"/>
    <w:pPr>
      <w:ind w:left="720"/>
      <w:contextualSpacing/>
    </w:pPr>
  </w:style>
  <w:style w:type="character" w:styleId="Hyperlink">
    <w:name w:val="Hyperlink"/>
    <w:basedOn w:val="Standaardalinea-lettertype"/>
    <w:unhideWhenUsed/>
    <w:rsid w:val="000E4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empenius@iederin.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sadeee@iederin.n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u-rsl\AppData\Roaming\Microsoft\Sjablonen\iederi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iederin.dotm</Template>
  <TotalTime>9</TotalTime>
  <Pages>3</Pages>
  <Words>815</Words>
  <Characters>4762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Brief</dc:subject>
  <dc:creator>Ria Sluijs</dc:creator>
  <cp:lastModifiedBy>Ria Sluijs</cp:lastModifiedBy>
  <cp:revision>5</cp:revision>
  <cp:lastPrinted>2020-10-08T09:50:00Z</cp:lastPrinted>
  <dcterms:created xsi:type="dcterms:W3CDTF">2020-10-07T15:55:00Z</dcterms:created>
  <dcterms:modified xsi:type="dcterms:W3CDTF">2020-10-08T11:35:00Z</dcterms:modified>
</cp:coreProperties>
</file>